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A9" w:rsidRDefault="00E879A9" w:rsidP="00E879A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879A9" w:rsidRDefault="00E879A9" w:rsidP="00E879A9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榆林市健康城市建设三年行动计划（2019-2021年）任务分解表</w:t>
      </w:r>
    </w:p>
    <w:p w:rsidR="00E879A9" w:rsidRDefault="00E879A9" w:rsidP="00E879A9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0427"/>
        <w:gridCol w:w="1420"/>
        <w:gridCol w:w="779"/>
      </w:tblGrid>
      <w:tr w:rsidR="00E879A9" w:rsidRPr="00C620E2" w:rsidTr="00703B67">
        <w:trPr>
          <w:trHeight w:val="522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主  要  任  </w:t>
            </w: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牵头部门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79A9" w:rsidRPr="00C620E2" w:rsidTr="00703B67">
        <w:trPr>
          <w:trHeight w:val="703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1.组织各级各类媒体开展健康城市建设、公民道德建设和健康教育宣传工作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2.加强健康城市建设正面宣传和媒体监督，发挥舆论监督引导作用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689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3.监督监测互联网信息，协调打击各类不健康不文明信息、广告，建设健康网络平台，推动实施“互联网+健康”行动计划，催生更多健康新产业、新业态、新模式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牵头调查民意指标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市委网信办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702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4.将健康融入所有政策，把爱国卫生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运动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工作和建设健康城市工作纳入全市经济社会发展总体规划</w:t>
            </w:r>
          </w:p>
          <w:p w:rsidR="00E879A9" w:rsidRPr="00C620E2" w:rsidRDefault="00E879A9" w:rsidP="00703B67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5.积极争取中省农村改水改厕、污水处理、垃圾处理、病媒防制等环境卫生计划项目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市发改委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318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6.依法查处各类治安、刑事、经济案件，打击食品安全、医疗安全犯罪行为</w:t>
            </w:r>
            <w:r w:rsidRPr="00C620E2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 xml:space="preserve"> 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7.严格规范交通秩序，纠正各类违章行为，缓解停车难、行车难问题。完善各类交通设施，确保交通标识齐全、整洁、美观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8.完成非正常死亡、交通事故死亡等基线调查评估和市民对社会治安、交通状况满意度调查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374"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9.积极开展健康学校示范建设和无烟学校创建活动，中小学健康教育课开课率达到100%，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学生健康知识知晓率达到90%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以上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，健康行为形成率达到85%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以上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健康学校覆盖率达100%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10.对学校环境卫生、食品安全、除害防病、传染病防治等各项工作进行监督管理，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中小学生肥胖率控制在14%以下，14岁以下儿童蛔虫感染率≤3%，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确保学校不发生群体性感染疾病和食品、饮水安全事件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市教育局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884"/>
        </w:trPr>
        <w:tc>
          <w:tcPr>
            <w:tcW w:w="939" w:type="dxa"/>
            <w:vMerge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11.设置规范的校医务室和保健室，配备具有相应资质的医务人员和保健人员，常见病预防矫治覆盖率达到100%,计划免疫率达到100%，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市民对教育状况满意度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735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bCs/>
                <w:color w:val="000000"/>
                <w:spacing w:val="-4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12.落实失业、养老、医疗等各类社会保障制度，确保各项措施落到实处。城乡居民基本养老保险参保率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≥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90%，城镇登记失业率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≤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5%，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市民对社会保障满意度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</w:t>
            </w: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人社局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477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1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13.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10"/>
                <w:kern w:val="0"/>
                <w:szCs w:val="21"/>
              </w:rPr>
              <w:t>开展客运车辆、出租车、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0"/>
                <w:kern w:val="0"/>
                <w:szCs w:val="21"/>
              </w:rPr>
              <w:t>公交</w:t>
            </w:r>
            <w:proofErr w:type="gramStart"/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0"/>
                <w:kern w:val="0"/>
                <w:szCs w:val="21"/>
              </w:rPr>
              <w:t>车文明</w:t>
            </w:r>
            <w:proofErr w:type="gramEnd"/>
            <w:r w:rsidRPr="00C620E2">
              <w:rPr>
                <w:rFonts w:ascii="仿宋" w:eastAsia="仿宋" w:hAnsi="仿宋" w:hint="eastAsia"/>
                <w:bCs/>
                <w:color w:val="000000"/>
                <w:spacing w:val="-10"/>
                <w:kern w:val="0"/>
                <w:szCs w:val="21"/>
              </w:rPr>
              <w:t>卫生评比活动，车辆车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0"/>
                <w:kern w:val="0"/>
                <w:szCs w:val="21"/>
              </w:rPr>
              <w:t>况良好、内外干净，有禁烟标志和提示及劝阻吸烟措施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14.监督榆林汽车站持续开展健康教育宣传、病媒生物防制、禁烟控烟、食品安全和环境卫生整治活动。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6"/>
                <w:kern w:val="0"/>
                <w:szCs w:val="21"/>
              </w:rPr>
              <w:t>配合做好市民对交通状况满意度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6"/>
                <w:kern w:val="0"/>
                <w:szCs w:val="21"/>
              </w:rPr>
              <w:t>的基线调查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15.抓好城市周边国省干线公路的养护和环境整治工作，做到路面整洁，排水沟渠畅通，路域内无杂草、垃圾，无乱堆乱放，行道树木无缺损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市交通局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2580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16.依据城市总体规划，合理规划设计城市道路、停车场、环卫基本设施和集贸市场，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建成一批富有文化特色、彰显地域特征的标志性建筑，不断提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升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城市整体形象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rPr>
                <w:rFonts w:ascii="仿宋" w:eastAsia="仿宋" w:hAnsi="仿宋" w:cs="宋体"/>
                <w:bCs/>
                <w:color w:val="000000"/>
                <w:spacing w:val="-12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17.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2"/>
                <w:kern w:val="0"/>
                <w:szCs w:val="21"/>
              </w:rPr>
              <w:t>把健康融入基础设施建设各</w:t>
            </w:r>
            <w:r>
              <w:rPr>
                <w:rFonts w:ascii="仿宋" w:eastAsia="仿宋" w:hAnsi="仿宋" w:cs="宋体" w:hint="eastAsia"/>
                <w:bCs/>
                <w:color w:val="000000"/>
                <w:spacing w:val="-12"/>
                <w:kern w:val="0"/>
                <w:szCs w:val="21"/>
              </w:rPr>
              <w:t>个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2"/>
                <w:kern w:val="0"/>
                <w:szCs w:val="21"/>
              </w:rPr>
              <w:t>方面，抓好建筑工地规范管理，大力实施“文明卫生工地”建设，开展病媒生物防制、环境卫生整治和</w:t>
            </w:r>
            <w:r w:rsidRPr="00C620E2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12"/>
                <w:kern w:val="0"/>
                <w:szCs w:val="21"/>
              </w:rPr>
              <w:t>工地安全教育、健康教育，保障建筑工人生命安全和身体健康。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12"/>
                <w:kern w:val="0"/>
                <w:szCs w:val="21"/>
              </w:rPr>
              <w:t>完成工地安全事故死亡基线调查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18.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构建住房保障体系，扩大住房保障覆盖面，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完成市民对住房条件满意度调查，满意率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19.加强园林绿化管护，实施精细管理、精细修剪，形成特色，人均公园绿地面积≥9㎡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20.加强生活污水收集处置，城区生活污水集中处理率≥90%。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加强自来水厂管理，坚持定时对水源水、出厂水进行检测，各项检测管理资料齐全，集中式供水水质合格率达100%，确保生活饮水安全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21.建立生活垃圾处置系统，提升生活垃圾处理厂处理能力，规范管理，生活垃圾无害化处理率≥95%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市住建局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2560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29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22.继续加大大气污染治理，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全市全年空气优良天数达到中省考核要求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，其他指标达到国家规定的指标要求。完成市民对大气环境质量满意度调查，满意度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290" w:lineRule="exac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23.持续开展水源地保护和水污染防治工作，饮用水源地一级保护区水质达标率100%。抓好饮用水水源地行业内水质监测工作，确保生活饮用水水源地卫生符合标准要求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24.加强对环境噪声污染治理，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区域环境噪声达到功能区划要求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25.加强医疗废物处置监督管理，医疗废物处理率达100%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市生态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环境局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2855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26.抓好各类屠宰场规划建设及执法监管，做好屠宰场肉品检验检疫工作，强化活禽市场管理。推进地方特色畜牧产品生产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宋体"/>
                <w:bCs/>
                <w:color w:val="000000"/>
                <w:spacing w:val="-6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Cs w:val="21"/>
              </w:rPr>
              <w:t>27.做好发展绿色农业产业，培育壮大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苹果、小杂粮等特色农产品，推进地方特色农产品生产。帮助贫困人口发展健康、绿色、环保产业。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加强对农药市场监督管理，引导群众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Cs w:val="21"/>
              </w:rPr>
              <w:t>科学安全用药，实施农产品农药残留、化肥残留检测。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抓好农村秸秆综合推广利用，禁止焚烧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Cs w:val="21"/>
              </w:rPr>
              <w:t>28.牵头组织开展农村人居环境整治，确保按年度完成建设任务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市农业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农村局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616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29.实施农村安全饮水工程，改善农村群众的饮水条件，提高农村自来水普及率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30.</w:t>
            </w:r>
            <w:r w:rsidRPr="00C620E2">
              <w:rPr>
                <w:rFonts w:ascii="仿宋" w:eastAsia="仿宋" w:hAnsi="仿宋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抓好河道环境卫生整治工作，做到无乱堆乱倒，无垃圾，无污物，监督河道</w:t>
            </w:r>
            <w:proofErr w:type="gramStart"/>
            <w:r w:rsidRPr="00C620E2">
              <w:rPr>
                <w:rFonts w:ascii="仿宋" w:eastAsia="仿宋" w:hAnsi="仿宋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各类乱排放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3665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.加强对各类文化市场、各种娱乐场所及网吧的文化市场监督管理，打击传播各类不健康、不文明行为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.大力繁荣健康文化，把健康元素融入民间艺术、文艺作品及文化演出活动之中，积极推出文艺影视剧作品，讲好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“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榆林故事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”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.积极开发旅游产业，督促各旅游公司开展卫生单位、文明单位建设，引导游客爱护讲究卫生，文明旅游。完成旅游环境满意度调查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4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.抓好文物管理单位、纪念馆、旧址等场所卫生设施建设和环境卫生管理工作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.牵头抓好文物旅游景区周边环境卫生、食品安全、小商小贩管理，做到证照齐全有效、环境干净卫生、行为文明规范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</w:t>
            </w: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文旅局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3876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6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.加强市场监管，做到基础设施完善、商品划行归市、管理制度健全、环境卫生整洁，定期对病媒生物进行消杀，蚊蝇鼠</w:t>
            </w: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蟑</w:t>
            </w:r>
            <w:proofErr w:type="gramEnd"/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密度控制在国家标准以内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.加大烟草、医疗、药品广告清理、整顿力度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.依法查处各类假冒伪劣产品，维护消费者的权益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39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.开展食品、保健品、化妆品专项执法监督活动，严把餐饮服务许可准入关口，规范小餐饮食品安全经营行为，加大小餐饮服务单位食品原料、食品添加剂及食品相关产品采购索证索票的监督检查力度。餐饮服务单位量化分级管理≥90%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0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.持续开展食品安全示范单位（场所）建设活动，食品监督抽检合格率≥95%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1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.严把药品生产、经营市场准入，加强药品经营许可和药品经营企业规范认证工作，实施药品电子监管，国家基本药物生产品种抽验完成率达到100%。监督抽检不合格食品、药品处置率达到100%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000000"/>
                <w:spacing w:val="-2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2</w:t>
            </w:r>
            <w:r w:rsidRPr="00C620E2">
              <w:rPr>
                <w:rFonts w:ascii="仿宋" w:eastAsia="仿宋" w:hAnsi="仿宋" w:hint="eastAsia"/>
                <w:bCs/>
                <w:color w:val="000000"/>
                <w:spacing w:val="-2"/>
                <w:kern w:val="0"/>
                <w:szCs w:val="21"/>
              </w:rPr>
              <w:t>.抓好健康相关产品、包装材料的监督管理工作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市市场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监管局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2832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spacing w:line="300" w:lineRule="exact"/>
              <w:rPr>
                <w:rFonts w:ascii="仿宋" w:eastAsia="仿宋" w:hAnsi="仿宋" w:cs="宋体"/>
                <w:bCs/>
                <w:snapToGrid w:val="0"/>
                <w:color w:val="000000"/>
                <w:spacing w:val="2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3</w:t>
            </w:r>
            <w:r w:rsidRPr="00C620E2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.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着力构建全民健身服务体系和全民健身活动新机制，积极推进全民健身活动生活化、常态化和时尚化，经常参加体育锻炼人口比例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30%</w:t>
            </w:r>
          </w:p>
          <w:p w:rsidR="00E879A9" w:rsidRPr="00C620E2" w:rsidRDefault="00E879A9" w:rsidP="00703B67">
            <w:pPr>
              <w:widowControl/>
              <w:spacing w:line="300" w:lineRule="exact"/>
              <w:rPr>
                <w:rFonts w:ascii="仿宋" w:eastAsia="仿宋" w:hAnsi="仿宋" w:cs="宋体"/>
                <w:bCs/>
                <w:snapToGrid w:val="0"/>
                <w:color w:val="000000"/>
                <w:spacing w:val="2"/>
                <w:kern w:val="0"/>
                <w:szCs w:val="21"/>
              </w:rPr>
            </w:pP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4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.加大社会体育指导员培训力度，社会体育指导员人数比例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2‰</w:t>
            </w:r>
          </w:p>
          <w:p w:rsidR="00E879A9" w:rsidRPr="00C620E2" w:rsidRDefault="00E879A9" w:rsidP="00703B67">
            <w:pPr>
              <w:widowControl/>
              <w:spacing w:line="300" w:lineRule="exact"/>
              <w:rPr>
                <w:rFonts w:ascii="仿宋" w:eastAsia="仿宋" w:hAnsi="仿宋" w:cs="宋体"/>
                <w:bCs/>
                <w:snapToGrid w:val="0"/>
                <w:color w:val="000000"/>
                <w:spacing w:val="2"/>
                <w:kern w:val="0"/>
                <w:szCs w:val="21"/>
              </w:rPr>
            </w:pP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5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.加快公共体育场地配套设施建设，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城市人均体育设施用地面积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2m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  <w:vertAlign w:val="superscript"/>
              </w:rPr>
              <w:t>2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以上。80%以上的社区建有体育健身设施。</w:t>
            </w:r>
            <w:r w:rsidRPr="00C620E2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市民对体育锻炼条件满意度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85%</w:t>
            </w:r>
          </w:p>
          <w:p w:rsidR="00E879A9" w:rsidRPr="00C620E2" w:rsidRDefault="00E879A9" w:rsidP="00703B67">
            <w:pPr>
              <w:widowControl/>
              <w:spacing w:line="300" w:lineRule="exact"/>
              <w:rPr>
                <w:rFonts w:ascii="仿宋" w:eastAsia="仿宋" w:hAnsi="仿宋" w:cs="宋体"/>
                <w:bCs/>
                <w:snapToGrid w:val="0"/>
                <w:color w:val="000000"/>
                <w:spacing w:val="2"/>
                <w:kern w:val="0"/>
                <w:szCs w:val="21"/>
              </w:rPr>
            </w:pP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6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.发展体育健身产业，引导社会资本投资兴办体育健身休闲业、兴办体育设施，开发多种体育经营活动</w:t>
            </w:r>
          </w:p>
          <w:p w:rsidR="00E879A9" w:rsidRPr="00C620E2" w:rsidRDefault="00E879A9" w:rsidP="00703B67">
            <w:pPr>
              <w:spacing w:line="300" w:lineRule="exact"/>
              <w:rPr>
                <w:rFonts w:ascii="仿宋" w:eastAsia="仿宋" w:hAnsi="仿宋" w:cs="宋体"/>
                <w:bCs/>
                <w:snapToGrid w:val="0"/>
                <w:color w:val="000000"/>
                <w:spacing w:val="2"/>
                <w:kern w:val="0"/>
                <w:szCs w:val="21"/>
              </w:rPr>
            </w:pP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7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.健全全民健身组织网路，</w:t>
            </w:r>
            <w:r w:rsidRPr="00C620E2"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2"/>
                <w:kern w:val="0"/>
                <w:szCs w:val="21"/>
              </w:rPr>
              <w:t>督促机关、企事业单位落实工间操制度，营造全民健身的良好氛围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市体育局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388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.加快对城区农贸市场升级改造，达到《标准化菜市场设置与管理规范》要求的农副产品市场比例≥70%，公厕达到二类标准以上，垃圾收集和排污设施符合要求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49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.加强对再生资源市场的监管，废旧物资回收市场做到分类摆放，进场入室，环境整洁，病媒生物防制有效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3995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0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.组织实施以健康城市建设为主要目的健康教育、控烟等工作，采取灵活多样的形式，倡导群众戒烟限酒、适量运动、平衡膳食、</w:t>
            </w:r>
            <w:proofErr w:type="gramStart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控盐控</w:t>
            </w:r>
            <w:proofErr w:type="gramEnd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油，积极开展健康医院等8类细胞示范建设，居民健康素养水平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20%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，人均期望寿命达76.8岁，健康医院示范建设覆盖率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达到60%以上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.深化医药卫生体制改革，加强卫生人才队伍建设，完善中医药医疗服务网络，优化医疗服务，健全</w:t>
            </w:r>
            <w:proofErr w:type="gramStart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全</w:t>
            </w:r>
            <w:proofErr w:type="gramEnd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人群、全生命周期的健康管理体系，每万人拥有全科医师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2人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所有社区卫生服务中心和70%的乡镇卫生院具备中医药服务能力，鼓励具备条件的村卫生室为群众提供中医药服务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.继续加强传染病、慢性病、重性精神疾病防治管理，肺结核发病率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＜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58/10万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，糖尿病管理人群血糖控制率达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50%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严重精神障碍患者规范管理率达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75%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.加强</w:t>
            </w:r>
            <w:proofErr w:type="gramStart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孕</w:t>
            </w:r>
            <w:proofErr w:type="gramEnd"/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产妇和儿童管理，规范免疫接种，提高出生人口质量，孕产妇系统管理率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＞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90%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，婴儿死亡率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＜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6.5‰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，5岁以下儿童死亡率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＜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6.7‰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，孕产妇死亡率</w:t>
            </w:r>
            <w:r w:rsidRPr="00C620E2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＜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12/10万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.继续强化卫生监督，公共场所管理规范，生活饮用水、二次供水安全卫生，无偿献血100%，医疗废物收集贮存规范，严厉打击非法行医、非法采供血和非法医疗广告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.继续抓好健康扶贫工作，确保扶贫人口不得病或少得大病，不因病返贫、因病致贫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.开展健康医院示范建设等8类健康细胞示范建设，确保按年度完成建设任务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.切实抓好全市爱国卫生的组织协调，巩固卫生城市成果，深入开展以生活垃圾和污水处置、卫生厕所普及、农村饮水安全为重点的城乡环境卫生整洁行动，大力开展爱国卫生运动，进一步提高病媒生物防制水平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.深入推进国家卫生城镇创建工作，组织实施卫生评比检查。国家卫生县城＞80%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市卫健委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655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17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5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59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.组织开展健康社区示范建设，确保按年度完成建设任务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50" w:lineRule="exact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0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不断完善社会救助体系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扩大社会救助范围，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努力提高困难群众基本生活保障水平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。扎实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做好生活无着落流浪乞讨人员的救助管理工作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，维护受助对象合法权益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。</w:t>
            </w:r>
            <w:r w:rsidRPr="00C620E2">
              <w:rPr>
                <w:rFonts w:ascii="仿宋" w:eastAsia="仿宋" w:hAnsi="仿宋" w:cs="仿宋_GB2312" w:hint="eastAsia"/>
                <w:bCs/>
                <w:color w:val="000000"/>
                <w:kern w:val="0"/>
                <w:szCs w:val="21"/>
              </w:rPr>
              <w:t>符合社会救助条件的困难群众的救助率达到100%</w:t>
            </w:r>
          </w:p>
          <w:p w:rsidR="00E879A9" w:rsidRPr="00C620E2" w:rsidRDefault="00E879A9" w:rsidP="00703B67">
            <w:pPr>
              <w:adjustRightInd w:val="0"/>
              <w:snapToGrid w:val="0"/>
              <w:spacing w:line="350" w:lineRule="exact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发展建设疗养、康复护理、养老保健、老年互助、临终关怀等养老产业，形成一条龙服务产业链，不断壮大养老产业，适应人口老龄化的现状，提高老年人生活质量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市民政局</w:t>
            </w: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963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5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.建设健康城市项目专项补助资金，纳入同级政府预算，足额予以保障。落实城市卫生检查评比、卫生镇村创建补助、农村改厕、健康教育、病媒生物防治等专项工作经费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市财政局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661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bCs/>
                <w:color w:val="000000"/>
                <w:spacing w:val="-4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4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spacing w:val="-4"/>
                <w:kern w:val="0"/>
                <w:szCs w:val="21"/>
              </w:rPr>
              <w:t>3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-4"/>
                <w:kern w:val="0"/>
                <w:szCs w:val="21"/>
              </w:rPr>
              <w:t>.组织城乡团员、青年开展形式多样的健康知识宣传教育和环境卫生整治活动，开展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“青年文明号”活动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团市委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944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.开展妇女健康知识、预防儿童意外伤害等宣传教育活动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.牵头组织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开展健康家庭示范建设活动，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引导广大妇女树立文明卫生、追求健康的生活理念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市妇联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109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bCs/>
                <w:color w:val="000000"/>
                <w:spacing w:val="4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spacing w:val="4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bCs/>
                <w:color w:val="000000"/>
                <w:spacing w:val="4"/>
                <w:kern w:val="0"/>
                <w:szCs w:val="21"/>
              </w:rPr>
              <w:t>6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spacing w:val="4"/>
                <w:kern w:val="0"/>
                <w:szCs w:val="21"/>
              </w:rPr>
              <w:t>.监督厂矿企业等用工单位认真落实安全和职业病防治各项措施，保障职工生命安全和身体健康；推进健康教育“进工厂（单位）”活动，宣传普及健康常识和职业病防治知识，提高职工健康素养水平</w:t>
            </w:r>
          </w:p>
          <w:p w:rsidR="00E879A9" w:rsidRPr="00C620E2" w:rsidRDefault="00E879A9" w:rsidP="00703B6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bCs/>
                <w:color w:val="000000"/>
                <w:spacing w:val="4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.组织开展</w:t>
            </w: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健康企业</w:t>
            </w:r>
            <w:proofErr w:type="gramEnd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示范建设，确保按年度完成建设任务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市工信局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646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8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.做好残疾人康复救助和扶贫解困工作，维护其社会权利，积极发展残疾人康复事业，鼓励残疾人自主创业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651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69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.把健康城市建设融入精准扶贫工作，减少贫困人口因病致贫、返贫，早日实现脱贫致富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市扶贫办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1593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0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.制定健康城市建设规划、实施方案、培训计划、工作制度、干预措施，并监督部门单位落实</w:t>
            </w:r>
          </w:p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.组织各级各部门宣传健康城市建设，实施健康细胞工程，推动健康城市建设进程</w:t>
            </w:r>
          </w:p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.评估健康城市建设效果，总结经验和成效，提出下一周期工作目标</w:t>
            </w:r>
          </w:p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  <w:r w:rsidRPr="00C620E2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.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在全国文明城市创建和文明单位检查评比中融入健康、卫生内容，让健康理念成为城市文明的重要元素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卫健委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879A9" w:rsidRPr="00C620E2" w:rsidTr="00703B67">
        <w:trPr>
          <w:trHeight w:val="2407"/>
        </w:trPr>
        <w:tc>
          <w:tcPr>
            <w:tcW w:w="93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27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4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.成立健康城市建设组织机构，制定相应的规划、方案和措施，配合市级部门搞好各项基线调查，有针对性地开展预防干预措施</w:t>
            </w:r>
          </w:p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5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.继续抓好卫生城市各项巩固工作和文明城市的创建，加强环卫基础设施建设，加大城市保洁、养护力度，持续整治城市“十乱”现象，强化病媒生物防制工作，深入开展爱国卫生运动和城乡环境卫生整洁行动</w:t>
            </w:r>
          </w:p>
          <w:p w:rsidR="00E879A9" w:rsidRPr="00C620E2" w:rsidRDefault="00E879A9" w:rsidP="00703B67">
            <w:pPr>
              <w:spacing w:line="32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6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.大力普及健康生活方式和理念，开展健康细胞示范建设。健全健康服务体系，完善健康保障制度，落实健康管理措施，培育健康生活人群，改善健康生活环境，发展健康产业文化，提高健康素养水平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榆阳区、</w:t>
            </w:r>
          </w:p>
          <w:p w:rsidR="00E879A9" w:rsidRPr="00C620E2" w:rsidRDefault="00E879A9" w:rsidP="00703B67">
            <w:pPr>
              <w:spacing w:line="32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proofErr w:type="gramStart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横山区</w:t>
            </w:r>
            <w:proofErr w:type="gramEnd"/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政府、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榆林</w:t>
            </w:r>
            <w:r w:rsidRPr="00C620E2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高新区管委会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879A9" w:rsidRPr="00C620E2" w:rsidRDefault="00E879A9" w:rsidP="00703B67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504C0" w:rsidRPr="00E879A9" w:rsidRDefault="00F504C0" w:rsidP="00E879A9">
      <w:bookmarkStart w:id="0" w:name="_GoBack"/>
      <w:bookmarkEnd w:id="0"/>
    </w:p>
    <w:sectPr w:rsidR="00F504C0" w:rsidRPr="00E879A9" w:rsidSect="00253F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6B" w:rsidRDefault="00721F6B" w:rsidP="00253F9C">
      <w:r>
        <w:separator/>
      </w:r>
    </w:p>
  </w:endnote>
  <w:endnote w:type="continuationSeparator" w:id="0">
    <w:p w:rsidR="00721F6B" w:rsidRDefault="00721F6B" w:rsidP="0025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6B" w:rsidRDefault="00721F6B" w:rsidP="00253F9C">
      <w:r>
        <w:separator/>
      </w:r>
    </w:p>
  </w:footnote>
  <w:footnote w:type="continuationSeparator" w:id="0">
    <w:p w:rsidR="00721F6B" w:rsidRDefault="00721F6B" w:rsidP="0025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A4"/>
    <w:rsid w:val="00253F9C"/>
    <w:rsid w:val="00721F6B"/>
    <w:rsid w:val="008F64A4"/>
    <w:rsid w:val="00CE7828"/>
    <w:rsid w:val="00E879A9"/>
    <w:rsid w:val="00F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4178</Characters>
  <Application>Microsoft Office Word</Application>
  <DocSecurity>0</DocSecurity>
  <Lines>34</Lines>
  <Paragraphs>9</Paragraphs>
  <ScaleCrop>false</ScaleCrop>
  <Company>china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2019-09-25T07:11:00Z</dcterms:created>
  <dcterms:modified xsi:type="dcterms:W3CDTF">2019-09-25T07:13:00Z</dcterms:modified>
</cp:coreProperties>
</file>