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942" w:rsidRPr="006B5942" w:rsidRDefault="006B5942" w:rsidP="006B5942">
      <w:pPr>
        <w:spacing w:line="560" w:lineRule="exact"/>
        <w:rPr>
          <w:rFonts w:ascii="黑体" w:eastAsia="黑体" w:hAnsi="黑体" w:cs="宋体"/>
          <w:color w:val="000000"/>
          <w:sz w:val="32"/>
          <w:szCs w:val="32"/>
        </w:rPr>
      </w:pPr>
      <w:r w:rsidRPr="006B5942">
        <w:rPr>
          <w:rFonts w:ascii="黑体" w:eastAsia="黑体" w:hAnsi="黑体" w:cs="宋体" w:hint="eastAsia"/>
          <w:color w:val="000000"/>
          <w:sz w:val="32"/>
          <w:szCs w:val="32"/>
        </w:rPr>
        <w:t>附件3</w:t>
      </w:r>
    </w:p>
    <w:p w:rsidR="006B5942" w:rsidRPr="006B5942" w:rsidRDefault="006B5942" w:rsidP="006B5942">
      <w:pPr>
        <w:spacing w:line="540" w:lineRule="exact"/>
        <w:ind w:left="1760" w:hangingChars="400" w:hanging="1760"/>
        <w:jc w:val="center"/>
        <w:rPr>
          <w:rFonts w:ascii="方正小标宋简体" w:eastAsia="方正小标宋简体" w:hAnsi="宋体" w:cs="Times New Roman"/>
          <w:sz w:val="44"/>
          <w:szCs w:val="44"/>
        </w:rPr>
      </w:pPr>
      <w:r w:rsidRPr="006B5942">
        <w:rPr>
          <w:rFonts w:ascii="方正小标宋简体" w:eastAsia="方正小标宋简体" w:hAnsi="宋体" w:cs="Times New Roman" w:hint="eastAsia"/>
          <w:sz w:val="44"/>
          <w:szCs w:val="44"/>
        </w:rPr>
        <w:t>合并的行政审批项目目录</w:t>
      </w:r>
    </w:p>
    <w:p w:rsidR="006B5942" w:rsidRPr="006B5942" w:rsidRDefault="006B5942" w:rsidP="006B5942">
      <w:pPr>
        <w:rPr>
          <w:rFonts w:ascii="宋体" w:eastAsia="宋体" w:hAnsi="宋体" w:cs="Times New Roman"/>
          <w:color w:val="000000"/>
          <w:szCs w:val="21"/>
        </w:rPr>
      </w:pPr>
      <w:r w:rsidRPr="006B5942">
        <w:rPr>
          <w:rFonts w:ascii="宋体" w:eastAsia="宋体" w:hAnsi="宋体" w:cs="Times New Roman" w:hint="eastAsia"/>
          <w:color w:val="000000"/>
          <w:szCs w:val="21"/>
        </w:rPr>
        <w:t xml:space="preserve"> </w:t>
      </w:r>
    </w:p>
    <w:tbl>
      <w:tblPr>
        <w:tblW w:w="14174" w:type="dxa"/>
        <w:tblLayout w:type="fixed"/>
        <w:tblLook w:val="04A0"/>
      </w:tblPr>
      <w:tblGrid>
        <w:gridCol w:w="828"/>
        <w:gridCol w:w="1440"/>
        <w:gridCol w:w="5931"/>
        <w:gridCol w:w="2709"/>
        <w:gridCol w:w="1980"/>
        <w:gridCol w:w="1286"/>
      </w:tblGrid>
      <w:tr w:rsidR="006B5942" w:rsidRPr="006B5942" w:rsidTr="006B5942">
        <w:tc>
          <w:tcPr>
            <w:tcW w:w="828" w:type="dxa"/>
            <w:tcBorders>
              <w:top w:val="single" w:sz="4" w:space="0" w:color="auto"/>
              <w:left w:val="single" w:sz="4" w:space="0" w:color="auto"/>
              <w:bottom w:val="single" w:sz="4" w:space="0" w:color="auto"/>
              <w:right w:val="single" w:sz="4" w:space="0" w:color="auto"/>
            </w:tcBorders>
            <w:hideMark/>
          </w:tcPr>
          <w:p w:rsidR="006B5942" w:rsidRPr="006B5942" w:rsidRDefault="006B5942" w:rsidP="006B5942">
            <w:pPr>
              <w:spacing w:line="300" w:lineRule="exact"/>
              <w:jc w:val="center"/>
              <w:rPr>
                <w:rFonts w:ascii="仿宋_GB2312" w:eastAsia="仿宋_GB2312" w:hAnsi="Times New Roman" w:cs="Times New Roman"/>
                <w:b/>
                <w:bCs/>
                <w:color w:val="000000"/>
                <w:sz w:val="24"/>
                <w:szCs w:val="24"/>
              </w:rPr>
            </w:pPr>
            <w:r w:rsidRPr="006B5942">
              <w:rPr>
                <w:rFonts w:ascii="仿宋_GB2312" w:eastAsia="仿宋_GB2312" w:hAnsi="Times New Roman" w:cs="Times New Roman" w:hint="eastAsia"/>
                <w:b/>
                <w:bCs/>
                <w:color w:val="000000"/>
                <w:sz w:val="24"/>
                <w:szCs w:val="24"/>
              </w:rPr>
              <w:t>序号</w:t>
            </w:r>
          </w:p>
        </w:tc>
        <w:tc>
          <w:tcPr>
            <w:tcW w:w="1440" w:type="dxa"/>
            <w:tcBorders>
              <w:top w:val="single" w:sz="4" w:space="0" w:color="auto"/>
              <w:left w:val="nil"/>
              <w:bottom w:val="single" w:sz="4" w:space="0" w:color="auto"/>
              <w:right w:val="single" w:sz="4" w:space="0" w:color="auto"/>
            </w:tcBorders>
            <w:hideMark/>
          </w:tcPr>
          <w:p w:rsidR="006B5942" w:rsidRPr="006B5942" w:rsidRDefault="006B5942" w:rsidP="006B5942">
            <w:pPr>
              <w:spacing w:line="300" w:lineRule="exact"/>
              <w:jc w:val="center"/>
              <w:rPr>
                <w:rFonts w:ascii="仿宋_GB2312" w:eastAsia="仿宋_GB2312" w:hAnsi="Times New Roman" w:cs="Times New Roman"/>
                <w:b/>
                <w:bCs/>
                <w:color w:val="000000"/>
                <w:sz w:val="24"/>
                <w:szCs w:val="24"/>
              </w:rPr>
            </w:pPr>
            <w:r w:rsidRPr="006B5942">
              <w:rPr>
                <w:rFonts w:ascii="仿宋_GB2312" w:eastAsia="仿宋_GB2312" w:hAnsi="Times New Roman" w:cs="Times New Roman" w:hint="eastAsia"/>
                <w:b/>
                <w:bCs/>
                <w:color w:val="000000"/>
                <w:sz w:val="24"/>
                <w:szCs w:val="24"/>
              </w:rPr>
              <w:t>项目名称</w:t>
            </w:r>
          </w:p>
        </w:tc>
        <w:tc>
          <w:tcPr>
            <w:tcW w:w="5931" w:type="dxa"/>
            <w:tcBorders>
              <w:top w:val="single" w:sz="4" w:space="0" w:color="auto"/>
              <w:left w:val="nil"/>
              <w:bottom w:val="single" w:sz="4" w:space="0" w:color="auto"/>
              <w:right w:val="single" w:sz="4" w:space="0" w:color="auto"/>
            </w:tcBorders>
            <w:hideMark/>
          </w:tcPr>
          <w:p w:rsidR="006B5942" w:rsidRPr="006B5942" w:rsidRDefault="006B5942" w:rsidP="006B5942">
            <w:pPr>
              <w:spacing w:line="300" w:lineRule="exact"/>
              <w:jc w:val="center"/>
              <w:rPr>
                <w:rFonts w:ascii="仿宋_GB2312" w:eastAsia="仿宋_GB2312" w:hAnsi="Times New Roman" w:cs="Times New Roman"/>
                <w:b/>
                <w:bCs/>
                <w:color w:val="000000"/>
                <w:sz w:val="24"/>
                <w:szCs w:val="24"/>
              </w:rPr>
            </w:pPr>
            <w:r w:rsidRPr="006B5942">
              <w:rPr>
                <w:rFonts w:ascii="仿宋_GB2312" w:eastAsia="仿宋_GB2312" w:hAnsi="Times New Roman" w:cs="Times New Roman" w:hint="eastAsia"/>
                <w:b/>
                <w:bCs/>
                <w:color w:val="000000"/>
                <w:sz w:val="24"/>
                <w:szCs w:val="24"/>
              </w:rPr>
              <w:t>设定依据</w:t>
            </w:r>
          </w:p>
        </w:tc>
        <w:tc>
          <w:tcPr>
            <w:tcW w:w="2709" w:type="dxa"/>
            <w:tcBorders>
              <w:top w:val="single" w:sz="4" w:space="0" w:color="auto"/>
              <w:left w:val="nil"/>
              <w:bottom w:val="single" w:sz="4" w:space="0" w:color="auto"/>
              <w:right w:val="single" w:sz="4" w:space="0" w:color="auto"/>
            </w:tcBorders>
            <w:hideMark/>
          </w:tcPr>
          <w:p w:rsidR="006B5942" w:rsidRPr="006B5942" w:rsidRDefault="006B5942" w:rsidP="006B5942">
            <w:pPr>
              <w:spacing w:line="300" w:lineRule="exact"/>
              <w:jc w:val="center"/>
              <w:rPr>
                <w:rFonts w:ascii="仿宋_GB2312" w:eastAsia="仿宋_GB2312" w:hAnsi="Times New Roman" w:cs="Times New Roman"/>
                <w:b/>
                <w:bCs/>
                <w:color w:val="000000"/>
                <w:sz w:val="24"/>
                <w:szCs w:val="24"/>
              </w:rPr>
            </w:pPr>
            <w:r w:rsidRPr="006B5942">
              <w:rPr>
                <w:rFonts w:ascii="仿宋_GB2312" w:eastAsia="仿宋_GB2312" w:hAnsi="Times New Roman" w:cs="Times New Roman" w:hint="eastAsia"/>
                <w:b/>
                <w:bCs/>
                <w:color w:val="000000"/>
                <w:sz w:val="24"/>
                <w:szCs w:val="24"/>
              </w:rPr>
              <w:t>实施机关</w:t>
            </w:r>
          </w:p>
        </w:tc>
        <w:tc>
          <w:tcPr>
            <w:tcW w:w="1980" w:type="dxa"/>
            <w:tcBorders>
              <w:top w:val="single" w:sz="4" w:space="0" w:color="auto"/>
              <w:left w:val="nil"/>
              <w:bottom w:val="single" w:sz="4" w:space="0" w:color="auto"/>
              <w:right w:val="single" w:sz="4" w:space="0" w:color="auto"/>
            </w:tcBorders>
            <w:hideMark/>
          </w:tcPr>
          <w:p w:rsidR="006B5942" w:rsidRPr="006B5942" w:rsidRDefault="006B5942" w:rsidP="006B5942">
            <w:pPr>
              <w:spacing w:line="300" w:lineRule="exact"/>
              <w:jc w:val="center"/>
              <w:rPr>
                <w:rFonts w:ascii="仿宋_GB2312" w:eastAsia="仿宋_GB2312" w:hAnsi="Times New Roman" w:cs="Times New Roman"/>
                <w:b/>
                <w:bCs/>
                <w:color w:val="000000"/>
                <w:sz w:val="24"/>
                <w:szCs w:val="24"/>
              </w:rPr>
            </w:pPr>
            <w:r w:rsidRPr="006B5942">
              <w:rPr>
                <w:rFonts w:ascii="仿宋_GB2312" w:eastAsia="仿宋_GB2312" w:hAnsi="宋体" w:cs="宋体" w:hint="eastAsia"/>
                <w:b/>
                <w:bCs/>
                <w:color w:val="000000"/>
                <w:kern w:val="0"/>
                <w:sz w:val="24"/>
                <w:szCs w:val="24"/>
              </w:rPr>
              <w:t>合并后项目名称</w:t>
            </w:r>
          </w:p>
        </w:tc>
        <w:tc>
          <w:tcPr>
            <w:tcW w:w="1286" w:type="dxa"/>
            <w:tcBorders>
              <w:top w:val="single" w:sz="4" w:space="0" w:color="auto"/>
              <w:left w:val="nil"/>
              <w:bottom w:val="single" w:sz="4" w:space="0" w:color="auto"/>
              <w:right w:val="single" w:sz="4" w:space="0" w:color="auto"/>
            </w:tcBorders>
            <w:hideMark/>
          </w:tcPr>
          <w:p w:rsidR="006B5942" w:rsidRPr="006B5942" w:rsidRDefault="006B5942" w:rsidP="006B5942">
            <w:pPr>
              <w:spacing w:line="300" w:lineRule="exact"/>
              <w:jc w:val="center"/>
              <w:rPr>
                <w:rFonts w:ascii="仿宋_GB2312" w:eastAsia="仿宋_GB2312" w:hAnsi="Times New Roman" w:cs="Times New Roman"/>
                <w:b/>
                <w:bCs/>
                <w:color w:val="000000"/>
                <w:sz w:val="24"/>
                <w:szCs w:val="24"/>
              </w:rPr>
            </w:pPr>
            <w:r w:rsidRPr="006B5942">
              <w:rPr>
                <w:rFonts w:ascii="仿宋_GB2312" w:eastAsia="仿宋_GB2312" w:hAnsi="Times New Roman" w:cs="Times New Roman" w:hint="eastAsia"/>
                <w:b/>
                <w:bCs/>
                <w:color w:val="000000"/>
                <w:sz w:val="24"/>
                <w:szCs w:val="24"/>
              </w:rPr>
              <w:t>备注</w:t>
            </w:r>
          </w:p>
        </w:tc>
      </w:tr>
      <w:tr w:rsidR="006B5942" w:rsidRPr="006B5942" w:rsidTr="006B5942">
        <w:trPr>
          <w:trHeight w:val="2650"/>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１</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Times New Roman" w:cs="Times New Roman"/>
                <w:color w:val="000000"/>
                <w:sz w:val="24"/>
                <w:szCs w:val="24"/>
              </w:rPr>
            </w:pPr>
            <w:r w:rsidRPr="006B5942">
              <w:rPr>
                <w:rFonts w:ascii="仿宋_GB2312" w:eastAsia="仿宋_GB2312" w:hAnsi="仿宋" w:cs="Times New Roman" w:hint="eastAsia"/>
                <w:color w:val="000000"/>
                <w:sz w:val="24"/>
                <w:szCs w:val="24"/>
              </w:rPr>
              <w:t>单独修建人防工程项目审批</w:t>
            </w:r>
          </w:p>
        </w:tc>
        <w:tc>
          <w:tcPr>
            <w:tcW w:w="5931" w:type="dxa"/>
            <w:vMerge w:val="restart"/>
            <w:tcBorders>
              <w:top w:val="nil"/>
              <w:left w:val="nil"/>
              <w:bottom w:val="single" w:sz="4" w:space="0" w:color="auto"/>
              <w:right w:val="single" w:sz="4" w:space="0" w:color="auto"/>
            </w:tcBorders>
            <w:hideMark/>
          </w:tcPr>
          <w:p w:rsidR="006B5942" w:rsidRPr="006B5942" w:rsidRDefault="006B5942" w:rsidP="006B5942">
            <w:pPr>
              <w:widowControl/>
              <w:spacing w:line="300" w:lineRule="exact"/>
              <w:ind w:firstLineChars="150" w:firstLine="360"/>
              <w:rPr>
                <w:rFonts w:ascii="仿宋_GB2312" w:eastAsia="仿宋_GB2312" w:hAnsi="宋体" w:cs="宋体"/>
                <w:color w:val="000000"/>
                <w:kern w:val="0"/>
                <w:sz w:val="24"/>
                <w:szCs w:val="24"/>
              </w:rPr>
            </w:pPr>
            <w:r w:rsidRPr="006B5942">
              <w:rPr>
                <w:rFonts w:ascii="仿宋_GB2312" w:eastAsia="仿宋_GB2312" w:hAnsi="宋体" w:cs="宋体" w:hint="eastAsia"/>
                <w:color w:val="000000"/>
                <w:kern w:val="0"/>
                <w:sz w:val="24"/>
                <w:szCs w:val="24"/>
              </w:rPr>
              <w:t>《中华人民共和国人民防空法》第二十八条：任何组织或者个人不得擅自拆除本法第二十一条规定的人民防空工程；确需拆除的，必须报经人民防空主管部门批准，并由拆除单位负责补建或者补偿。</w:t>
            </w:r>
          </w:p>
          <w:p w:rsidR="006B5942" w:rsidRPr="006B5942" w:rsidRDefault="006B5942" w:rsidP="006B5942">
            <w:pPr>
              <w:spacing w:line="300" w:lineRule="exact"/>
              <w:ind w:firstLineChars="150" w:firstLine="360"/>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陕西省实施&lt;人民防空法&gt;办法》（2010年3月修正本）第七条：人民防空指挥工程、公用的人员掩蔽工程和疏散干道工程由人民防空主管部门负责组织修建；医疗救护、物资储备等专用工程由其他有关部门负责组织修建。前款所列单独修建的人民防空工程属于国防基础设施，由人民防空主管部门按照国家有关规定负责立项审批、设计审查、质量监督和竣工验收。第九条：县级以上人民政府所在地的城市，应当按照下列规定修建防空地下室：……新建防空地下室的抗力等级和战时用途由县级以上人民政府人民防空主管部门确定。第十条：防空地下室由建设单位修建，纳入基本建设计划。防空地下室必须与地面建筑同步规划、同步设计、同步施工。防空地下室的设计应当由具有人防工程设计资质的设计单位承担。在对应建防空地下室的民用建筑设计文件组织审核时，应当由同级人民防空主管部门参加，负责防空地下室的面积、抗力等级、战时用途和防护设计审核。十六条：禁止擅自拆除人民防空工程，确需拆除的</w:t>
            </w:r>
            <w:r w:rsidRPr="006B5942">
              <w:rPr>
                <w:rFonts w:ascii="仿宋_GB2312" w:eastAsia="仿宋_GB2312" w:hAnsi="Times New Roman" w:cs="Times New Roman" w:hint="eastAsia"/>
                <w:color w:val="000000"/>
                <w:sz w:val="24"/>
                <w:szCs w:val="24"/>
              </w:rPr>
              <w:lastRenderedPageBreak/>
              <w:t>须报经同级人民防空主管部门批准。拆除人民防空工程的单位必须在规定的期限内补建同面积的人民防空工程；拆除的工程属等级工程的，按原等级修建；拆除的工程属非等级工程的，按不低于现行的最低等级工程修建。因客观条件限制不能补建的，拆除人民防空工程的单位应向同级人民防空主管部门缴纳相应的工程建设补偿费，由人民防空主管部门组织建设。</w:t>
            </w:r>
          </w:p>
        </w:tc>
        <w:tc>
          <w:tcPr>
            <w:tcW w:w="2709" w:type="dxa"/>
            <w:vMerge w:val="restart"/>
            <w:tcBorders>
              <w:top w:val="nil"/>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lastRenderedPageBreak/>
              <w:t>市人防办</w:t>
            </w:r>
          </w:p>
        </w:tc>
        <w:tc>
          <w:tcPr>
            <w:tcW w:w="1980" w:type="dxa"/>
            <w:vMerge w:val="restart"/>
            <w:tcBorders>
              <w:top w:val="nil"/>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人防工程（含结合地面建筑修建的防空地下室）项目的立项、拆除审批及设计文件审核</w:t>
            </w:r>
          </w:p>
        </w:tc>
        <w:tc>
          <w:tcPr>
            <w:tcW w:w="1286" w:type="dxa"/>
            <w:tcBorders>
              <w:top w:val="single" w:sz="4" w:space="0" w:color="auto"/>
              <w:left w:val="nil"/>
              <w:bottom w:val="single" w:sz="4" w:space="0" w:color="auto"/>
              <w:right w:val="single" w:sz="4" w:space="0" w:color="auto"/>
            </w:tcBorders>
          </w:tcPr>
          <w:p w:rsidR="006B5942" w:rsidRPr="006B5942" w:rsidRDefault="006B5942" w:rsidP="006B5942">
            <w:pPr>
              <w:spacing w:line="300" w:lineRule="exact"/>
              <w:rPr>
                <w:rFonts w:ascii="仿宋_GB2312" w:eastAsia="仿宋_GB2312" w:hAnsi="Times New Roman" w:cs="Times New Roman"/>
                <w:color w:val="000000"/>
                <w:sz w:val="24"/>
                <w:szCs w:val="24"/>
              </w:rPr>
            </w:pPr>
          </w:p>
        </w:tc>
      </w:tr>
      <w:tr w:rsidR="006B5942" w:rsidRPr="006B5942" w:rsidTr="006B5942">
        <w:trPr>
          <w:trHeight w:val="745"/>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２</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Times New Roman" w:cs="Times New Roman"/>
                <w:color w:val="000000"/>
                <w:sz w:val="24"/>
                <w:szCs w:val="24"/>
              </w:rPr>
            </w:pPr>
            <w:r w:rsidRPr="006B5942">
              <w:rPr>
                <w:rFonts w:ascii="仿宋_GB2312" w:eastAsia="仿宋_GB2312" w:hAnsi="仿宋" w:cs="Times New Roman" w:hint="eastAsia"/>
                <w:color w:val="000000"/>
                <w:sz w:val="24"/>
                <w:szCs w:val="24"/>
              </w:rPr>
              <w:t>拆除、补建（或补偿）人防工程审批</w:t>
            </w:r>
          </w:p>
        </w:tc>
        <w:tc>
          <w:tcPr>
            <w:tcW w:w="9651" w:type="dxa"/>
            <w:vMerge/>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仿宋_GB2312" w:eastAsia="仿宋_GB2312" w:hAnsi="Times New Roman" w:cs="Times New Roman"/>
                <w:color w:val="000000"/>
                <w:sz w:val="24"/>
                <w:szCs w:val="24"/>
              </w:rPr>
            </w:pPr>
          </w:p>
        </w:tc>
        <w:tc>
          <w:tcPr>
            <w:tcW w:w="8057" w:type="dxa"/>
            <w:vMerge/>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仿宋_GB2312" w:eastAsia="仿宋_GB2312" w:hAnsi="Times New Roman" w:cs="Times New Roman"/>
                <w:color w:val="000000"/>
                <w:sz w:val="24"/>
                <w:szCs w:val="24"/>
              </w:rPr>
            </w:pPr>
          </w:p>
        </w:tc>
        <w:tc>
          <w:tcPr>
            <w:tcW w:w="4189" w:type="dxa"/>
            <w:vMerge/>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仿宋_GB2312" w:eastAsia="仿宋_GB2312" w:hAnsi="Times New Roman" w:cs="Times New Roman"/>
                <w:color w:val="000000"/>
                <w:sz w:val="24"/>
                <w:szCs w:val="24"/>
              </w:rPr>
            </w:pPr>
          </w:p>
        </w:tc>
        <w:tc>
          <w:tcPr>
            <w:tcW w:w="1286" w:type="dxa"/>
            <w:tcBorders>
              <w:top w:val="single" w:sz="4" w:space="0" w:color="auto"/>
              <w:left w:val="nil"/>
              <w:bottom w:val="single" w:sz="4" w:space="0" w:color="auto"/>
              <w:right w:val="single" w:sz="4" w:space="0" w:color="auto"/>
            </w:tcBorders>
          </w:tcPr>
          <w:p w:rsidR="006B5942" w:rsidRPr="006B5942" w:rsidRDefault="006B5942" w:rsidP="006B5942">
            <w:pPr>
              <w:spacing w:line="300" w:lineRule="exact"/>
              <w:rPr>
                <w:rFonts w:ascii="仿宋_GB2312" w:eastAsia="仿宋_GB2312" w:hAnsi="Times New Roman" w:cs="Times New Roman"/>
                <w:color w:val="000000"/>
                <w:sz w:val="24"/>
                <w:szCs w:val="24"/>
              </w:rPr>
            </w:pPr>
          </w:p>
        </w:tc>
      </w:tr>
      <w:tr w:rsidR="006B5942" w:rsidRPr="006B5942" w:rsidTr="006B5942">
        <w:trPr>
          <w:trHeight w:val="626"/>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３</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城市新建民用建筑修建防空地下室的设计审核</w:t>
            </w:r>
          </w:p>
        </w:tc>
        <w:tc>
          <w:tcPr>
            <w:tcW w:w="9651" w:type="dxa"/>
            <w:vMerge/>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仿宋_GB2312" w:eastAsia="仿宋_GB2312" w:hAnsi="Times New Roman" w:cs="Times New Roman"/>
                <w:color w:val="000000"/>
                <w:sz w:val="24"/>
                <w:szCs w:val="24"/>
              </w:rPr>
            </w:pPr>
          </w:p>
        </w:tc>
        <w:tc>
          <w:tcPr>
            <w:tcW w:w="8057" w:type="dxa"/>
            <w:vMerge/>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仿宋_GB2312" w:eastAsia="仿宋_GB2312" w:hAnsi="Times New Roman" w:cs="Times New Roman"/>
                <w:color w:val="000000"/>
                <w:sz w:val="24"/>
                <w:szCs w:val="24"/>
              </w:rPr>
            </w:pPr>
          </w:p>
        </w:tc>
        <w:tc>
          <w:tcPr>
            <w:tcW w:w="4189" w:type="dxa"/>
            <w:vMerge/>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仿宋_GB2312" w:eastAsia="仿宋_GB2312" w:hAnsi="Times New Roman" w:cs="Times New Roman"/>
                <w:color w:val="000000"/>
                <w:sz w:val="24"/>
                <w:szCs w:val="24"/>
              </w:rPr>
            </w:pPr>
          </w:p>
        </w:tc>
        <w:tc>
          <w:tcPr>
            <w:tcW w:w="1286" w:type="dxa"/>
            <w:tcBorders>
              <w:top w:val="single" w:sz="4" w:space="0" w:color="auto"/>
              <w:left w:val="nil"/>
              <w:bottom w:val="single" w:sz="4" w:space="0" w:color="auto"/>
              <w:right w:val="single" w:sz="4" w:space="0" w:color="auto"/>
            </w:tcBorders>
          </w:tcPr>
          <w:p w:rsidR="006B5942" w:rsidRPr="006B5942" w:rsidRDefault="006B5942" w:rsidP="006B5942">
            <w:pPr>
              <w:spacing w:line="300" w:lineRule="exact"/>
              <w:rPr>
                <w:rFonts w:ascii="仿宋_GB2312" w:eastAsia="仿宋_GB2312" w:hAnsi="Times New Roman" w:cs="Times New Roman"/>
                <w:color w:val="000000"/>
                <w:sz w:val="24"/>
                <w:szCs w:val="24"/>
              </w:rPr>
            </w:pPr>
          </w:p>
        </w:tc>
      </w:tr>
      <w:tr w:rsidR="006B5942" w:rsidRPr="006B5942" w:rsidTr="006B5942">
        <w:trPr>
          <w:trHeight w:val="1707"/>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lastRenderedPageBreak/>
              <w:t>４</w:t>
            </w:r>
          </w:p>
        </w:tc>
        <w:tc>
          <w:tcPr>
            <w:tcW w:w="1440" w:type="dxa"/>
            <w:tcBorders>
              <w:top w:val="single" w:sz="4" w:space="0" w:color="auto"/>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乡镇土地利用总体规划审批</w:t>
            </w:r>
          </w:p>
        </w:tc>
        <w:tc>
          <w:tcPr>
            <w:tcW w:w="5931" w:type="dxa"/>
            <w:vMerge w:val="restart"/>
            <w:tcBorders>
              <w:top w:val="nil"/>
              <w:left w:val="nil"/>
              <w:bottom w:val="single" w:sz="4" w:space="0" w:color="auto"/>
              <w:right w:val="single" w:sz="4" w:space="0" w:color="auto"/>
            </w:tcBorders>
            <w:hideMark/>
          </w:tcPr>
          <w:p w:rsidR="006B5942" w:rsidRPr="006B5942" w:rsidRDefault="006B5942" w:rsidP="006B5942">
            <w:pPr>
              <w:spacing w:line="400" w:lineRule="exact"/>
              <w:ind w:firstLineChars="150" w:firstLine="360"/>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 xml:space="preserve">《中华人民共和国土地管理法》第二十一条：土地利用总体规划实行分级审批。市、县级土地利用总体规划逐级上报至省级人民政府批准；第二十六条： 经批准的土地利用总体规划的修改，须经原批准机关批准；未经批准，不得改变土地利用总体规划确定的土地用途。                                       </w:t>
            </w:r>
          </w:p>
          <w:p w:rsidR="006B5942" w:rsidRPr="006B5942" w:rsidRDefault="006B5942" w:rsidP="006B5942">
            <w:pPr>
              <w:spacing w:line="400" w:lineRule="exact"/>
              <w:ind w:firstLineChars="150" w:firstLine="360"/>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《陕西省实施&lt;中华人民共和国土地管理法&gt;办法》第十三条：土地利用总体规划实行分级审批制度。 县(市)土地利用总体规划，经设区的市(地区)人民政府审查同意后，报省人民政府批准。</w:t>
            </w:r>
          </w:p>
          <w:p w:rsidR="006B5942" w:rsidRPr="006B5942" w:rsidRDefault="006B5942" w:rsidP="006B5942">
            <w:pPr>
              <w:spacing w:line="40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陕西省土地利用总体规划修改报批办法》第十三条第一款：市县级规划修改，在不改变允许建设区规模的前提下，需要在有条件建设区内进行形态调整的，由市、县级国土资源部门向省级国土资源部门提出申请。</w:t>
            </w:r>
          </w:p>
        </w:tc>
        <w:tc>
          <w:tcPr>
            <w:tcW w:w="2709" w:type="dxa"/>
            <w:vMerge w:val="restart"/>
            <w:tcBorders>
              <w:top w:val="nil"/>
              <w:left w:val="nil"/>
              <w:bottom w:val="single" w:sz="4" w:space="0" w:color="auto"/>
              <w:right w:val="single" w:sz="4" w:space="0" w:color="auto"/>
            </w:tcBorders>
            <w:vAlign w:val="center"/>
          </w:tcPr>
          <w:p w:rsidR="006B5942" w:rsidRPr="006B5942" w:rsidRDefault="006B5942" w:rsidP="006B5942">
            <w:pPr>
              <w:spacing w:line="30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市国土资源局</w:t>
            </w:r>
          </w:p>
          <w:p w:rsidR="006B5942" w:rsidRPr="006B5942" w:rsidRDefault="006B5942" w:rsidP="006B5942">
            <w:pPr>
              <w:spacing w:line="300" w:lineRule="exact"/>
              <w:rPr>
                <w:rFonts w:ascii="仿宋_GB2312" w:eastAsia="仿宋_GB2312" w:hAnsi="Times New Roman" w:cs="Times New Roman"/>
                <w:color w:val="000000"/>
                <w:sz w:val="24"/>
                <w:szCs w:val="24"/>
              </w:rPr>
            </w:pPr>
          </w:p>
        </w:tc>
        <w:tc>
          <w:tcPr>
            <w:tcW w:w="1980" w:type="dxa"/>
            <w:vMerge w:val="restart"/>
            <w:tcBorders>
              <w:top w:val="nil"/>
              <w:left w:val="nil"/>
              <w:bottom w:val="single" w:sz="4" w:space="0" w:color="auto"/>
              <w:right w:val="single" w:sz="4" w:space="0" w:color="auto"/>
            </w:tcBorders>
            <w:vAlign w:val="center"/>
            <w:hideMark/>
          </w:tcPr>
          <w:p w:rsidR="006B5942" w:rsidRPr="006B5942" w:rsidRDefault="006B5942" w:rsidP="006B5942">
            <w:pPr>
              <w:spacing w:line="30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县级规划修改申请及乡级规划修改</w:t>
            </w:r>
          </w:p>
        </w:tc>
        <w:tc>
          <w:tcPr>
            <w:tcW w:w="1286" w:type="dxa"/>
            <w:tcBorders>
              <w:top w:val="single" w:sz="4" w:space="0" w:color="auto"/>
              <w:left w:val="nil"/>
              <w:bottom w:val="single" w:sz="4" w:space="0" w:color="auto"/>
              <w:right w:val="single" w:sz="4" w:space="0" w:color="auto"/>
            </w:tcBorders>
          </w:tcPr>
          <w:p w:rsidR="006B5942" w:rsidRPr="006B5942" w:rsidRDefault="006B5942" w:rsidP="006B5942">
            <w:pPr>
              <w:spacing w:line="300" w:lineRule="exact"/>
              <w:rPr>
                <w:rFonts w:ascii="仿宋_GB2312" w:eastAsia="仿宋_GB2312" w:hAnsi="Times New Roman" w:cs="Times New Roman"/>
                <w:color w:val="000000"/>
                <w:sz w:val="24"/>
                <w:szCs w:val="24"/>
              </w:rPr>
            </w:pPr>
          </w:p>
        </w:tc>
      </w:tr>
      <w:tr w:rsidR="006B5942" w:rsidRPr="006B5942" w:rsidTr="006B5942">
        <w:trPr>
          <w:trHeight w:val="914"/>
        </w:trPr>
        <w:tc>
          <w:tcPr>
            <w:tcW w:w="828" w:type="dxa"/>
            <w:tcBorders>
              <w:top w:val="single" w:sz="4" w:space="0" w:color="auto"/>
              <w:left w:val="single" w:sz="4" w:space="0" w:color="auto"/>
              <w:bottom w:val="single" w:sz="4" w:space="0" w:color="auto"/>
              <w:right w:val="single" w:sz="4" w:space="0" w:color="auto"/>
            </w:tcBorders>
            <w:vAlign w:val="center"/>
            <w:hideMark/>
          </w:tcPr>
          <w:p w:rsidR="006B5942" w:rsidRPr="006B5942" w:rsidRDefault="006B5942" w:rsidP="006B5942">
            <w:pPr>
              <w:spacing w:line="300" w:lineRule="exact"/>
              <w:jc w:val="center"/>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５</w:t>
            </w:r>
          </w:p>
        </w:tc>
        <w:tc>
          <w:tcPr>
            <w:tcW w:w="1440" w:type="dxa"/>
            <w:tcBorders>
              <w:top w:val="single" w:sz="4" w:space="0" w:color="auto"/>
              <w:left w:val="nil"/>
              <w:bottom w:val="nil"/>
              <w:right w:val="single" w:sz="4" w:space="0" w:color="auto"/>
            </w:tcBorders>
            <w:vAlign w:val="center"/>
            <w:hideMark/>
          </w:tcPr>
          <w:p w:rsidR="006B5942" w:rsidRPr="006B5942" w:rsidRDefault="006B5942" w:rsidP="006B5942">
            <w:pPr>
              <w:spacing w:line="300" w:lineRule="exact"/>
              <w:rPr>
                <w:rFonts w:ascii="仿宋_GB2312" w:eastAsia="仿宋_GB2312" w:hAnsi="Times New Roman" w:cs="Times New Roman"/>
                <w:color w:val="000000"/>
                <w:sz w:val="24"/>
                <w:szCs w:val="24"/>
              </w:rPr>
            </w:pPr>
            <w:r w:rsidRPr="006B5942">
              <w:rPr>
                <w:rFonts w:ascii="仿宋_GB2312" w:eastAsia="仿宋_GB2312" w:hAnsi="Times New Roman" w:cs="Times New Roman" w:hint="eastAsia"/>
                <w:color w:val="000000"/>
                <w:sz w:val="24"/>
                <w:szCs w:val="24"/>
              </w:rPr>
              <w:t>县区土地利用总体规划审核</w:t>
            </w:r>
          </w:p>
        </w:tc>
        <w:tc>
          <w:tcPr>
            <w:tcW w:w="9651" w:type="dxa"/>
            <w:vMerge/>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仿宋_GB2312" w:eastAsia="仿宋_GB2312" w:hAnsi="Times New Roman" w:cs="Times New Roman"/>
                <w:color w:val="000000"/>
                <w:sz w:val="24"/>
                <w:szCs w:val="24"/>
              </w:rPr>
            </w:pPr>
          </w:p>
        </w:tc>
        <w:tc>
          <w:tcPr>
            <w:tcW w:w="8057" w:type="dxa"/>
            <w:vMerge/>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仿宋_GB2312" w:eastAsia="仿宋_GB2312" w:hAnsi="Times New Roman" w:cs="Times New Roman"/>
                <w:color w:val="000000"/>
                <w:sz w:val="24"/>
                <w:szCs w:val="24"/>
              </w:rPr>
            </w:pPr>
          </w:p>
        </w:tc>
        <w:tc>
          <w:tcPr>
            <w:tcW w:w="4189" w:type="dxa"/>
            <w:vMerge/>
            <w:tcBorders>
              <w:top w:val="nil"/>
              <w:left w:val="nil"/>
              <w:bottom w:val="single" w:sz="4" w:space="0" w:color="auto"/>
              <w:right w:val="single" w:sz="4" w:space="0" w:color="auto"/>
            </w:tcBorders>
            <w:vAlign w:val="center"/>
            <w:hideMark/>
          </w:tcPr>
          <w:p w:rsidR="006B5942" w:rsidRPr="006B5942" w:rsidRDefault="006B5942" w:rsidP="006B5942">
            <w:pPr>
              <w:widowControl/>
              <w:jc w:val="left"/>
              <w:rPr>
                <w:rFonts w:ascii="仿宋_GB2312" w:eastAsia="仿宋_GB2312" w:hAnsi="Times New Roman" w:cs="Times New Roman"/>
                <w:color w:val="000000"/>
                <w:sz w:val="24"/>
                <w:szCs w:val="24"/>
              </w:rPr>
            </w:pPr>
          </w:p>
        </w:tc>
        <w:tc>
          <w:tcPr>
            <w:tcW w:w="1286" w:type="dxa"/>
            <w:tcBorders>
              <w:top w:val="single" w:sz="4" w:space="0" w:color="auto"/>
              <w:left w:val="nil"/>
              <w:bottom w:val="single" w:sz="4" w:space="0" w:color="auto"/>
              <w:right w:val="single" w:sz="4" w:space="0" w:color="auto"/>
            </w:tcBorders>
          </w:tcPr>
          <w:p w:rsidR="006B5942" w:rsidRPr="006B5942" w:rsidRDefault="006B5942" w:rsidP="006B5942">
            <w:pPr>
              <w:spacing w:line="300" w:lineRule="exact"/>
              <w:rPr>
                <w:rFonts w:ascii="仿宋_GB2312" w:eastAsia="仿宋_GB2312" w:hAnsi="Times New Roman" w:cs="Times New Roman"/>
                <w:color w:val="000000"/>
                <w:sz w:val="24"/>
                <w:szCs w:val="24"/>
              </w:rPr>
            </w:pPr>
          </w:p>
        </w:tc>
      </w:tr>
    </w:tbl>
    <w:p w:rsidR="00A907DC" w:rsidRDefault="00A907DC"/>
    <w:sectPr w:rsidR="00A907DC" w:rsidSect="006B5942">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5942"/>
    <w:rsid w:val="00622979"/>
    <w:rsid w:val="006B5942"/>
    <w:rsid w:val="00A907DC"/>
    <w:rsid w:val="00B514EF"/>
    <w:rsid w:val="00CA7749"/>
    <w:rsid w:val="00D973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7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article">
    <w:name w:val="contentarticle"/>
    <w:basedOn w:val="a"/>
    <w:rsid w:val="006B5942"/>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unhideWhenUsed/>
    <w:rsid w:val="006B594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924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2019-02-21T01:04:00Z</dcterms:created>
  <dcterms:modified xsi:type="dcterms:W3CDTF">2019-02-21T01:07:00Z</dcterms:modified>
</cp:coreProperties>
</file>