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r>
        <w:rPr>
          <w:rFonts w:hint="eastAsia"/>
          <w:sz w:val="44"/>
          <w:szCs w:val="44"/>
          <w:lang w:eastAsia="zh-CN"/>
        </w:rPr>
        <w:t>榆林市司法局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公开随机抽查事项清单</w:t>
      </w:r>
    </w:p>
    <w:bookmarkEnd w:id="0"/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根据《陕西省司法厅双随机一公开工作实施细则（试行）》（陕司通〔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）的通知，榆林市司法局公开随机抽查事项如下：律师事务所和律师、公正机构和公证员、基层法律服务机构和基层法律服务工作者、司法鉴定机构和司法鉴定人等抽查对象名录库。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榆林市司法局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2021年11月2日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C0864"/>
    <w:rsid w:val="28EC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2021-11-02T00:41:00Z</dcterms:created>
  <dc:creator>Hce</dc:creator>
  <cp:lastModifiedBy>Hce</cp:lastModifiedBy>
  <dcterms:modified xsi:type="dcterms:W3CDTF">2021-11-02T01:01:11Z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78BF9A75EC59437F8575BE011E6F925A</vt:lpwstr>
  </property>
</Properties>
</file>